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66677A67" w14:textId="348F9180" w:rsidR="0023017F" w:rsidRPr="004B6462" w:rsidRDefault="00284CE2" w:rsidP="004B6462">
      <w:pPr>
        <w:rPr>
          <w:rFonts w:eastAsiaTheme="majorEastAsia" w:cstheme="minorHAnsi"/>
          <w:b/>
          <w:color w:val="2E74B5" w:themeColor="accent1" w:themeShade="BF"/>
          <w:sz w:val="32"/>
          <w:szCs w:val="32"/>
        </w:rPr>
      </w:pPr>
      <w:r w:rsidRPr="004B6462">
        <w:rPr>
          <w:rFonts w:eastAsiaTheme="majorEastAsia" w:cstheme="minorHAnsi"/>
          <w:b/>
          <w:color w:val="2E74B5" w:themeColor="accent1" w:themeShade="BF"/>
          <w:sz w:val="32"/>
          <w:szCs w:val="32"/>
        </w:rPr>
        <w:t xml:space="preserve">Skriptas_ </w:t>
      </w:r>
      <w:r w:rsidR="00162B4D" w:rsidRPr="004B6462">
        <w:rPr>
          <w:rFonts w:eastAsiaTheme="majorEastAsia" w:cstheme="minorHAnsi"/>
          <w:b/>
          <w:color w:val="2E74B5" w:themeColor="accent1" w:themeShade="BF"/>
          <w:sz w:val="32"/>
          <w:szCs w:val="32"/>
        </w:rPr>
        <w:t>Pokyčių valdymas ir lyderystė</w:t>
      </w:r>
    </w:p>
    <w:p w14:paraId="6F395467" w14:textId="77777777" w:rsidR="00162B4D" w:rsidRDefault="00162B4D" w:rsidP="00162B4D">
      <w:pPr>
        <w:spacing w:after="0"/>
        <w:jc w:val="center"/>
        <w:rPr>
          <w:rFonts w:ascii="Calibri" w:hAnsi="Calibri" w:cs="Calibri"/>
          <w:b/>
          <w:bCs/>
        </w:rPr>
      </w:pPr>
    </w:p>
    <w:p w14:paraId="456B9028" w14:textId="77777777" w:rsidR="006644C8" w:rsidRDefault="006644C8" w:rsidP="006644C8">
      <w:pPr>
        <w:jc w:val="both"/>
      </w:pPr>
      <w:r w:rsidRPr="002F3F22">
        <w:rPr>
          <w:b/>
          <w:bCs/>
        </w:rPr>
        <w:t>[Slide 1]:</w:t>
      </w:r>
      <w:r>
        <w:t xml:space="preserve"> </w:t>
      </w:r>
    </w:p>
    <w:p w14:paraId="4A862752" w14:textId="77777777" w:rsidR="006644C8" w:rsidRDefault="006644C8" w:rsidP="006644C8">
      <w:pPr>
        <w:jc w:val="both"/>
      </w:pPr>
      <w:r w:rsidRPr="00D03120">
        <w:t>Sveiki atvykę į H-PASS mokymosi modulio WP3 dalį „Pokyčių valdymas ir lyderystė“. Šio modulio tikslas – suteikti jums žinių ir įgūdžių, reikalingų veiksmingam pokyčių valdymui ir lyderystei sveikatos priežiūros srityje.</w:t>
      </w:r>
    </w:p>
    <w:p w14:paraId="179F57FF" w14:textId="77777777" w:rsidR="006644C8" w:rsidRDefault="006644C8" w:rsidP="006644C8">
      <w:pPr>
        <w:jc w:val="both"/>
      </w:pPr>
      <w:r w:rsidRPr="002F3F22">
        <w:rPr>
          <w:b/>
          <w:bCs/>
        </w:rPr>
        <w:t>[Slide 2]:</w:t>
      </w:r>
      <w:r>
        <w:t xml:space="preserve"> </w:t>
      </w:r>
    </w:p>
    <w:p w14:paraId="56FF97FE" w14:textId="77777777" w:rsidR="006644C8" w:rsidRDefault="006644C8" w:rsidP="006644C8">
      <w:pPr>
        <w:jc w:val="both"/>
      </w:pPr>
      <w:r w:rsidRPr="00D03120">
        <w:t>Šiandien aptarsime šias pagrindines temas: įvadą, pasipriešinimą pokyčiams, strategijas pasipriešinimui įveikti, pagrindinius pokyčių valdymo modelius, Koterio aštuonių žingsnių modelį, skaitmeninimo poveikį darbo aplinkai ir apibendrinimą.</w:t>
      </w:r>
    </w:p>
    <w:p w14:paraId="2676DA9E" w14:textId="77777777" w:rsidR="006644C8" w:rsidRPr="00277916" w:rsidRDefault="006644C8" w:rsidP="006644C8">
      <w:pPr>
        <w:jc w:val="both"/>
      </w:pPr>
      <w:r w:rsidRPr="002F3F22">
        <w:rPr>
          <w:b/>
          <w:bCs/>
        </w:rPr>
        <w:t>[</w:t>
      </w:r>
      <w:r w:rsidRPr="00277916">
        <w:rPr>
          <w:b/>
          <w:bCs/>
        </w:rPr>
        <w:t>Slide 3]:</w:t>
      </w:r>
      <w:r w:rsidRPr="00277916">
        <w:t xml:space="preserve"> </w:t>
      </w:r>
    </w:p>
    <w:p w14:paraId="38ADB617" w14:textId="77777777" w:rsidR="006644C8" w:rsidRPr="00277916" w:rsidRDefault="006644C8" w:rsidP="006644C8">
      <w:pPr>
        <w:jc w:val="both"/>
      </w:pPr>
      <w:r w:rsidRPr="00277916">
        <w:t>Šio modulio pabaigoje geriau suprasite, kas yra pokyčių valdymas ir kodėl jis svarbus sveikatos priežiūros srityje. Įvardysite pagrindines priežastis, dėl kurių dažniausiai kyla pasipriešinimas pokyčiams, susipažinsite su pagrindiniais pokyčių valdymo modeliais, detaliau išnagrinėsite Koterio aštuonių žingsnių modelį, aptarsite, kaip skaitmeninimas keičia darbo aplinką, ir išanalizuosite praktinį atvejį, susijusį su skaitmenine transformacija sveikatos priežiūros įstaigoje.</w:t>
      </w:r>
    </w:p>
    <w:p w14:paraId="7B2F7043" w14:textId="77777777" w:rsidR="006644C8" w:rsidRDefault="006644C8" w:rsidP="006644C8">
      <w:pPr>
        <w:jc w:val="both"/>
      </w:pPr>
      <w:r w:rsidRPr="002F3F22">
        <w:rPr>
          <w:b/>
          <w:bCs/>
        </w:rPr>
        <w:t>[Slide 4]:</w:t>
      </w:r>
      <w:r>
        <w:t xml:space="preserve"> </w:t>
      </w:r>
    </w:p>
    <w:p w14:paraId="65F2A75C" w14:textId="77777777" w:rsidR="006644C8" w:rsidRDefault="006644C8" w:rsidP="006644C8">
      <w:pPr>
        <w:jc w:val="both"/>
      </w:pPr>
      <w:r w:rsidRPr="00D03120">
        <w:t>Pradėkime nuo įvado į pokyčių valdymą. Sveikatos priežiūros sektoriuje pokyčiai yra neišvengiami – juos lemia pacientų poreikių kaita, teisinių reikalavimų atnaujinimai ir technologinė pažanga. Efektyvus pokyčių valdymas leidžia šiuos procesus įgyvendinti sklandžiai, tikslingai ir naudingai visoms suinteresuotosioms šalims. Šiame pristatyme aptarsime pagrindinius pokyčių valdymo ir lyderystės aspektus, įvairius modelius, strategijas bei skaitmeninimo poveikį.</w:t>
      </w:r>
    </w:p>
    <w:p w14:paraId="290B595A" w14:textId="77777777" w:rsidR="006644C8" w:rsidRDefault="006644C8" w:rsidP="006644C8">
      <w:pPr>
        <w:jc w:val="both"/>
      </w:pPr>
      <w:r w:rsidRPr="002F3F22">
        <w:rPr>
          <w:b/>
          <w:bCs/>
        </w:rPr>
        <w:t>[Slide 5]:</w:t>
      </w:r>
      <w:r>
        <w:t xml:space="preserve"> </w:t>
      </w:r>
    </w:p>
    <w:p w14:paraId="336F9EDF" w14:textId="77777777" w:rsidR="006644C8" w:rsidRDefault="006644C8" w:rsidP="006644C8">
      <w:pPr>
        <w:jc w:val="both"/>
      </w:pPr>
      <w:r w:rsidRPr="00D03120">
        <w:t>Pokyčių valdymas – tai procesas, kurio metu organizacijos, komandos ir darbuotojai rengiami, palaikomi ir skatinami pokyčiams. Sveikatos priežiūroje tai itin svarbu – norint prisitaikyti prie teisės aktų pokyčių, technologijų pažangos bei siekiant aukštesnės paslaugų kokybės. Be tikslingo valdymo pokyčiai gali būti chaotiški ir sukelti neigiamų pasekmių.</w:t>
      </w:r>
    </w:p>
    <w:p w14:paraId="5C2EAE4C" w14:textId="77777777" w:rsidR="006644C8" w:rsidRDefault="006644C8" w:rsidP="006644C8">
      <w:pPr>
        <w:jc w:val="both"/>
      </w:pPr>
      <w:r w:rsidRPr="002F3F22">
        <w:rPr>
          <w:b/>
          <w:bCs/>
        </w:rPr>
        <w:t>[Slide 6]:</w:t>
      </w:r>
      <w:r>
        <w:t xml:space="preserve"> </w:t>
      </w:r>
    </w:p>
    <w:p w14:paraId="05E178EC" w14:textId="77777777" w:rsidR="006644C8" w:rsidRDefault="006644C8" w:rsidP="006644C8">
      <w:pPr>
        <w:jc w:val="both"/>
      </w:pPr>
      <w:r w:rsidRPr="00D03120">
        <w:t>Vienas pagrindinių iššūkių – pasipriešinimas pokyčiams. Dažniausios priežastys: baimė dėl nežinomybės, kontrolės praradimo pojūtis, nepasitikėjimas vadovybe, kompetencijos trūkumas ir nepakankama komunikacija. Tokie veiksniai gali gerokai sulėtinti arba net sužlugdyti pokyčių procesą.</w:t>
      </w:r>
    </w:p>
    <w:p w14:paraId="35E8AB02" w14:textId="77777777" w:rsidR="006644C8" w:rsidRDefault="006644C8" w:rsidP="006644C8">
      <w:pPr>
        <w:jc w:val="both"/>
        <w:rPr>
          <w:b/>
          <w:bCs/>
        </w:rPr>
      </w:pPr>
      <w:r w:rsidRPr="002F3F22">
        <w:rPr>
          <w:b/>
          <w:bCs/>
        </w:rPr>
        <w:t>[Slide 7]:</w:t>
      </w:r>
      <w:r>
        <w:rPr>
          <w:b/>
          <w:bCs/>
        </w:rPr>
        <w:t xml:space="preserve"> </w:t>
      </w:r>
    </w:p>
    <w:p w14:paraId="39F54B30" w14:textId="77777777" w:rsidR="006644C8" w:rsidRDefault="006644C8" w:rsidP="006644C8">
      <w:pPr>
        <w:jc w:val="both"/>
      </w:pPr>
      <w:r w:rsidRPr="00D03120">
        <w:t>Norint veiksmingai spręsti šiuos iššūkius, svarbu taikyti strategijas pasipriešinimui įveikti. Pirmiausia – efektyvi komunikacija. Skaidrus, atviras bendravimas apie pokyčių priežastis, jų naudą bei nuolatinis informacijos atnaujinimas gali sumažinti neapibrėžtumą. Įtraukiant darbuotojus į planavimą ir įgyvendinimą bei formuojant pokyčių ambasadorių komandą, didėja įsitraukimas ir palaikymas.</w:t>
      </w:r>
    </w:p>
    <w:p w14:paraId="125233A7" w14:textId="77777777" w:rsidR="006644C8" w:rsidRDefault="006644C8" w:rsidP="006644C8">
      <w:pPr>
        <w:jc w:val="both"/>
      </w:pPr>
      <w:r w:rsidRPr="002F3F22">
        <w:rPr>
          <w:b/>
          <w:bCs/>
        </w:rPr>
        <w:lastRenderedPageBreak/>
        <w:t>[Slide 8]:</w:t>
      </w:r>
      <w:r>
        <w:t xml:space="preserve"> </w:t>
      </w:r>
    </w:p>
    <w:p w14:paraId="76943E85" w14:textId="77777777" w:rsidR="006644C8" w:rsidRDefault="006644C8" w:rsidP="006644C8">
      <w:pPr>
        <w:jc w:val="both"/>
      </w:pPr>
      <w:r w:rsidRPr="004852EB">
        <w:t>Taip pat būtina užtikrinti tinkamą paramą ir mokymą. Mokymai padeda darbuotojams įgyti reikiamų įgūdžių, o nuolatinė pagalba pereinamuoju laikotarpiu stiprina pasitikėjimą. Svarbu atliepti darbuotojų rūpesčius ir užtikrinti darbo saugumą – tai sumažina nerimą ir stiprina įsipareigojimą.</w:t>
      </w:r>
    </w:p>
    <w:p w14:paraId="302F5EA4" w14:textId="77777777" w:rsidR="006644C8" w:rsidRDefault="006644C8" w:rsidP="006644C8">
      <w:pPr>
        <w:jc w:val="both"/>
      </w:pPr>
      <w:r w:rsidRPr="002F3F22">
        <w:rPr>
          <w:b/>
          <w:bCs/>
        </w:rPr>
        <w:t>[Slide 9]:</w:t>
      </w:r>
      <w:r>
        <w:t xml:space="preserve"> </w:t>
      </w:r>
    </w:p>
    <w:p w14:paraId="244E89D4" w14:textId="77777777" w:rsidR="006644C8" w:rsidRDefault="006644C8" w:rsidP="006644C8">
      <w:pPr>
        <w:jc w:val="both"/>
      </w:pPr>
      <w:r w:rsidRPr="004852EB">
        <w:t>Veiksmingam pokyčių įgyvendinimui reikia remtis struktūrizuotais modeliais. Pokyčių valdymo modeliai suteikia aiškią veiksmų eigą. Tarp pagrindinių modelių – Lewino modelis (susidedantis iš „atš</w:t>
      </w:r>
      <w:r>
        <w:t>i</w:t>
      </w:r>
      <w:r w:rsidRPr="004852EB">
        <w:t>ldymo“, „</w:t>
      </w:r>
      <w:r>
        <w:t>pokyčio</w:t>
      </w:r>
      <w:r w:rsidRPr="004852EB">
        <w:t>“ ir „įšaldymo“ etapų) bei ADKAR modelis, apimantis sąmoningumą, norą, žinias, gebėjimus ir pastiprinimą.</w:t>
      </w:r>
    </w:p>
    <w:p w14:paraId="740A5218" w14:textId="77777777" w:rsidR="006644C8" w:rsidRDefault="006644C8" w:rsidP="006644C8">
      <w:pPr>
        <w:jc w:val="both"/>
        <w:rPr>
          <w:b/>
          <w:bCs/>
        </w:rPr>
      </w:pPr>
      <w:r w:rsidRPr="002F3F22">
        <w:rPr>
          <w:b/>
          <w:bCs/>
        </w:rPr>
        <w:t xml:space="preserve">[Slide 10]: </w:t>
      </w:r>
    </w:p>
    <w:p w14:paraId="4AFC58E1" w14:textId="77777777" w:rsidR="006644C8" w:rsidRDefault="006644C8" w:rsidP="006644C8">
      <w:pPr>
        <w:jc w:val="both"/>
      </w:pPr>
      <w:r w:rsidRPr="004852EB">
        <w:t>Lewino modelyje „atš</w:t>
      </w:r>
      <w:r>
        <w:t>i</w:t>
      </w:r>
      <w:r w:rsidRPr="004852EB">
        <w:t>ldymo“ etapas reiškia pasirengimą pokyčiui, esamos tvarkos peržiūrą. „</w:t>
      </w:r>
      <w:r>
        <w:t>Pokyčio</w:t>
      </w:r>
      <w:r w:rsidRPr="004852EB">
        <w:t>“ etape įgyvendinami nauji elgesio ir darbo metodai. Galiausiai, „įšaldymo“ etapas skirtas naujos praktikos įtvirtinimui kasdienėje veikloje.</w:t>
      </w:r>
    </w:p>
    <w:p w14:paraId="4DEA9ACF" w14:textId="77777777" w:rsidR="006644C8" w:rsidRDefault="006644C8" w:rsidP="006644C8">
      <w:pPr>
        <w:jc w:val="both"/>
      </w:pPr>
      <w:r w:rsidRPr="00331FBF">
        <w:rPr>
          <w:b/>
          <w:bCs/>
        </w:rPr>
        <w:t>[Slide 11]:</w:t>
      </w:r>
      <w:r>
        <w:t xml:space="preserve"> </w:t>
      </w:r>
    </w:p>
    <w:p w14:paraId="3C41E6B1" w14:textId="77777777" w:rsidR="006644C8" w:rsidRDefault="006644C8" w:rsidP="006644C8">
      <w:pPr>
        <w:jc w:val="both"/>
      </w:pPr>
      <w:r w:rsidRPr="004852EB">
        <w:t>„Atš</w:t>
      </w:r>
      <w:r>
        <w:t>i</w:t>
      </w:r>
      <w:r w:rsidRPr="004852EB">
        <w:t>ldymo“ etape svarbu pripažinti pokyčio būtinumą, aiškiai įvardyti, kas turi būti keičiamas, ir užtikrinti vadovybės palaikymą. „</w:t>
      </w:r>
      <w:r>
        <w:t>Pokyčio</w:t>
      </w:r>
      <w:r w:rsidRPr="004852EB">
        <w:t>“ etapas – tai mokymasis ir perėjimas prie naujo elgesio. „Įšaldymo“ etapas užtikrina, kad nauji įpročiai įsitvirtintų ir būtų palaikomi.</w:t>
      </w:r>
    </w:p>
    <w:p w14:paraId="473BF8EE" w14:textId="77777777" w:rsidR="006644C8" w:rsidRDefault="006644C8" w:rsidP="006644C8">
      <w:pPr>
        <w:jc w:val="both"/>
      </w:pPr>
      <w:r w:rsidRPr="00331FBF">
        <w:rPr>
          <w:b/>
          <w:bCs/>
        </w:rPr>
        <w:t>[Slide 12]:</w:t>
      </w:r>
      <w:r>
        <w:t xml:space="preserve"> </w:t>
      </w:r>
    </w:p>
    <w:p w14:paraId="62C99A20" w14:textId="77777777" w:rsidR="006644C8" w:rsidRDefault="006644C8" w:rsidP="006644C8">
      <w:pPr>
        <w:jc w:val="both"/>
      </w:pPr>
      <w:r w:rsidRPr="00376836">
        <w:t>Dabar aptarkime ADKAR modelį, kurio pavadinimas sudarytas iš penkių pagrindinių pokyčių komponentų: Sąmoningumas (</w:t>
      </w:r>
      <w:r w:rsidRPr="00376836">
        <w:rPr>
          <w:b/>
          <w:bCs/>
        </w:rPr>
        <w:t>ouernes</w:t>
      </w:r>
      <w:r w:rsidRPr="00376836">
        <w:t>), Noras (</w:t>
      </w:r>
      <w:r w:rsidRPr="00376836">
        <w:rPr>
          <w:b/>
          <w:bCs/>
        </w:rPr>
        <w:t>dizair</w:t>
      </w:r>
      <w:r w:rsidRPr="00376836">
        <w:t>), Žinios (</w:t>
      </w:r>
      <w:r w:rsidRPr="00376836">
        <w:rPr>
          <w:b/>
          <w:bCs/>
        </w:rPr>
        <w:t>nolidž</w:t>
      </w:r>
      <w:r w:rsidRPr="00376836">
        <w:t>), Gebėjimas (</w:t>
      </w:r>
      <w:r w:rsidRPr="00376836">
        <w:rPr>
          <w:b/>
          <w:bCs/>
        </w:rPr>
        <w:t>abilitį</w:t>
      </w:r>
      <w:r w:rsidRPr="00376836">
        <w:t>) ir Stiprinimas (</w:t>
      </w:r>
      <w:r w:rsidRPr="00376836">
        <w:rPr>
          <w:b/>
          <w:bCs/>
        </w:rPr>
        <w:t>reinforsment</w:t>
      </w:r>
      <w:r w:rsidRPr="00376836">
        <w:t>). Šis modelis orientuojasi į individualius pokyčius ir padeda suprasti, kaip žmonės pereina per visą pokyčių procesą. Sąmoningumas reiškia suvokimą, kodėl pokytis yra būtinas. Noras apibūdina asmeninę motyvaciją dalyvauti pokyčiuose ir juos palaikyti. Žinios nurodo, ką būtina žinoti norint įgyvendinti pokytį. Gebėjimas – tai įgūdžių ir elgsenos taikymas praktikoje. Galiausiai, stiprinimas užtikrina, kad pokytis išliktų ilgalaikėje perspektyvoje.</w:t>
      </w:r>
    </w:p>
    <w:p w14:paraId="6B2AAB65" w14:textId="77777777" w:rsidR="006644C8" w:rsidRDefault="006644C8" w:rsidP="006644C8">
      <w:pPr>
        <w:jc w:val="both"/>
      </w:pPr>
      <w:r w:rsidRPr="00331FBF">
        <w:rPr>
          <w:b/>
          <w:bCs/>
        </w:rPr>
        <w:t>[Slide 13]:</w:t>
      </w:r>
      <w:r>
        <w:t xml:space="preserve"> </w:t>
      </w:r>
    </w:p>
    <w:p w14:paraId="5EFE1F80" w14:textId="77777777" w:rsidR="006644C8" w:rsidRDefault="006644C8" w:rsidP="006644C8">
      <w:pPr>
        <w:jc w:val="both"/>
      </w:pPr>
      <w:r w:rsidRPr="004852EB">
        <w:t>Praktikoje šie elementai taikomi taip: sąmoningumo didinimas reiškia išankstinį darbuotojų informavimą apie pokyčius, jų priežastis, organizacijos iššūkius ir galimus pokyčių privalumus. Noro ugdymas apima darbuotojų reakcijų supratimą, jų įsitraukimą bei rūpimų klausimų sprendimą, pabrėžiant asmeninę pokyčio naudą. Žinių suteikimas vykdomas per mokymus ir instruktažus, aiškinant, ką konkrečiai reikės daryti po pokyčio įgyvendinimo. Gebėjimų stiprinimas reiškia galimybę praktiškai išbandyti naujus metodus, stebėti pažangą ir gauti konstruktyvų grįžtamąjį ryšį. Stiprinimo etapas apima ilgalaikę pokyčio stebėseną, teigiamą grįžtamąjį ryšį, skatinimą ir pripažinimą, siekiant užtikrinti tęstinumą.</w:t>
      </w:r>
    </w:p>
    <w:p w14:paraId="560B5B39" w14:textId="77777777" w:rsidR="006644C8" w:rsidRDefault="006644C8" w:rsidP="006644C8">
      <w:pPr>
        <w:jc w:val="both"/>
      </w:pPr>
      <w:r w:rsidRPr="00331FBF">
        <w:rPr>
          <w:b/>
          <w:bCs/>
        </w:rPr>
        <w:t>[Slide 14]:</w:t>
      </w:r>
      <w:r>
        <w:t xml:space="preserve"> </w:t>
      </w:r>
    </w:p>
    <w:p w14:paraId="0CB77EDD" w14:textId="77777777" w:rsidR="006644C8" w:rsidRDefault="006644C8" w:rsidP="006644C8">
      <w:pPr>
        <w:jc w:val="both"/>
      </w:pPr>
      <w:r w:rsidRPr="004852EB">
        <w:t>Kotterio aštuonių žingsnių pokyčių modelis yra dar viena plačiai taikoma sistema, padedanti nuosekliai įgyvendinti pokyčius organizacijoje. Procesas prasideda nuo skubos suvokimo – būtina, kad darbuotojai aiškiai suprastų pokyčio reikšmę ir neišvengiamumą. Toliau formuojama stipri pokyčius palaikanti lyderių grupė, kuri turi pakankamai įtakos vadovauti pokyčių procesui. Sukuriama aiški vizija, kuri padeda nukreipti veiksmus tinkama linkme, ir ši vizija aktyviai komunikuojama įvairiais organizacijos kanalais.</w:t>
      </w:r>
    </w:p>
    <w:p w14:paraId="768AA000" w14:textId="77777777" w:rsidR="006644C8" w:rsidRDefault="006644C8" w:rsidP="006644C8">
      <w:pPr>
        <w:jc w:val="both"/>
      </w:pPr>
      <w:r w:rsidRPr="00331FBF">
        <w:rPr>
          <w:b/>
          <w:bCs/>
        </w:rPr>
        <w:lastRenderedPageBreak/>
        <w:t>[Slide 15]:</w:t>
      </w:r>
      <w:r>
        <w:t xml:space="preserve"> </w:t>
      </w:r>
    </w:p>
    <w:p w14:paraId="3F291749" w14:textId="77777777" w:rsidR="006644C8" w:rsidRDefault="006644C8" w:rsidP="006644C8">
      <w:pPr>
        <w:jc w:val="both"/>
      </w:pPr>
      <w:r w:rsidRPr="004852EB">
        <w:t>Kiti žingsniai apima kliūčių pašalinimą – tai gali būti ne tik struktūriniai, bet ir kultūriniai barjerai, trukdantys pokyčio įgyvendinimui. Siekiama trumpalaikių pergalių, kurios sustiprina pasitikėjimą ir motyvaciją. Vėliau plėtojami pasiekti rezultatai, diegiant tolesnes iniciatyvas, ir galiausiai pokyčiai įtvirtinami organizacijos kultūroje, kad jie taptų nauja norma. Šis modelis pabrėžia, kad kiekvienas žingsnis remiasi ankstesniu ir yra būtinas sėkmingam ilgalaikiam pokyčiui pasiekti.</w:t>
      </w:r>
    </w:p>
    <w:p w14:paraId="266F2BF4" w14:textId="77777777" w:rsidR="006644C8" w:rsidRDefault="006644C8" w:rsidP="006644C8">
      <w:pPr>
        <w:jc w:val="both"/>
      </w:pPr>
      <w:r w:rsidRPr="00331FBF">
        <w:rPr>
          <w:b/>
          <w:bCs/>
        </w:rPr>
        <w:t>[Slide 16]:</w:t>
      </w:r>
      <w:r>
        <w:t xml:space="preserve"> </w:t>
      </w:r>
    </w:p>
    <w:p w14:paraId="11F600B7" w14:textId="77777777" w:rsidR="006644C8" w:rsidRDefault="006644C8" w:rsidP="006644C8">
      <w:pPr>
        <w:jc w:val="both"/>
      </w:pPr>
      <w:r w:rsidRPr="004852EB">
        <w:t>Skaitmeninimas yra viena svarbiausių šiuolaikinių transformacijų sveikatos priežiūros srityje. Įdiegus naujas technologijas ir procesus, reikšmingai keičiasi pacientų priežiūra, didėja veiklos efektyvumas ir gerėja duomenų valdymas. Teigiami pokyčiai pasireiškia per telemedicinos sprendimus, elektroninių sveikatos įrašų sistemas, dirbtinio intelekto diagnostiką bei automatizavimą, kuris leidžia optimaliau panaudoti išteklius.</w:t>
      </w:r>
    </w:p>
    <w:p w14:paraId="2586347D" w14:textId="77777777" w:rsidR="006644C8" w:rsidRDefault="006644C8" w:rsidP="006644C8">
      <w:pPr>
        <w:jc w:val="both"/>
      </w:pPr>
      <w:r w:rsidRPr="00331FBF">
        <w:rPr>
          <w:b/>
          <w:bCs/>
        </w:rPr>
        <w:t>[Slide 17]:</w:t>
      </w:r>
      <w:r>
        <w:t xml:space="preserve"> </w:t>
      </w:r>
    </w:p>
    <w:p w14:paraId="2898683E" w14:textId="77777777" w:rsidR="006644C8" w:rsidRDefault="006644C8" w:rsidP="006644C8">
      <w:pPr>
        <w:jc w:val="both"/>
      </w:pPr>
      <w:r w:rsidRPr="004852EB">
        <w:t>Tačiau kartu skaitmeninimas kelia ir iššūkių. Vienas pagrindinių iš jų – duomenų saugumas. Pacientų informacijos apsauga nuo neteisėtos prieigos ar kibernetinių grėsmių reikalauja ypatingo dėmesio. Be to, naujos technologijos reikalauja nuolatinio darbuotojų mokymo ir gebėjimo prisitaikyti. Organizacijos turi užtikrinti ne tik techninius sprendimus, bet ir stiprią vidinę paramą pokyčių įgyvendinimo metu.</w:t>
      </w:r>
    </w:p>
    <w:p w14:paraId="79E3DB47" w14:textId="77777777" w:rsidR="006644C8" w:rsidRDefault="006644C8" w:rsidP="006644C8">
      <w:pPr>
        <w:jc w:val="both"/>
      </w:pPr>
      <w:r w:rsidRPr="00331FBF">
        <w:rPr>
          <w:b/>
          <w:bCs/>
        </w:rPr>
        <w:t>[Slide 18]:</w:t>
      </w:r>
      <w:r>
        <w:t xml:space="preserve"> </w:t>
      </w:r>
    </w:p>
    <w:p w14:paraId="35601AF2" w14:textId="77777777" w:rsidR="006644C8" w:rsidRDefault="006644C8" w:rsidP="006644C8">
      <w:pPr>
        <w:jc w:val="both"/>
      </w:pPr>
      <w:r w:rsidRPr="004852EB">
        <w:t>Norėdami iliustruoti šių principų taikymą, aptarsime vieną skaitmeninės transformacijos atvejį sveikatos priežiūros įstaigoje. Privati klinika nusprendė įgyvendinti plataus masto skaitmeninę transformaciją, kurios tikslas buvo pagerinti pacientų priežiūrą ir padidinti organizacijos efektyvumą.</w:t>
      </w:r>
    </w:p>
    <w:p w14:paraId="42F67BF9" w14:textId="77777777" w:rsidR="006644C8" w:rsidRPr="00331FBF" w:rsidRDefault="006644C8" w:rsidP="006644C8">
      <w:pPr>
        <w:jc w:val="both"/>
        <w:rPr>
          <w:b/>
          <w:bCs/>
        </w:rPr>
      </w:pPr>
      <w:r w:rsidRPr="00331FBF">
        <w:rPr>
          <w:b/>
          <w:bCs/>
        </w:rPr>
        <w:t xml:space="preserve">[Slide 19]: </w:t>
      </w:r>
    </w:p>
    <w:p w14:paraId="04FED2EE" w14:textId="77777777" w:rsidR="006644C8" w:rsidRDefault="006644C8" w:rsidP="006644C8">
      <w:pPr>
        <w:jc w:val="both"/>
      </w:pPr>
      <w:r w:rsidRPr="004852EB">
        <w:t>Prieš įgyvendinant pokyčius, klinika susidūrė su įvairiomis problemomis: pasenusiais rankiniais procesais, neefektyviu pacientų duomenų valdymu, vėluojančiu tarpusavio bendravimu, ribota prieiga prie svarbios informacijos sprendimų priėmimui, prastu išteklių planavimu. Šie iššūkiai paskatino kliniką ieškoti skaitmeninių sprendimų.</w:t>
      </w:r>
    </w:p>
    <w:p w14:paraId="3EEEB546" w14:textId="77777777" w:rsidR="006644C8" w:rsidRDefault="006644C8" w:rsidP="006644C8">
      <w:pPr>
        <w:jc w:val="both"/>
      </w:pPr>
      <w:r w:rsidRPr="00331FBF">
        <w:rPr>
          <w:b/>
          <w:bCs/>
        </w:rPr>
        <w:t>[Slide 20]:</w:t>
      </w:r>
      <w:r>
        <w:t xml:space="preserve"> </w:t>
      </w:r>
    </w:p>
    <w:p w14:paraId="66AD1CD6" w14:textId="77777777" w:rsidR="006644C8" w:rsidRDefault="006644C8" w:rsidP="006644C8">
      <w:pPr>
        <w:jc w:val="both"/>
      </w:pPr>
      <w:r w:rsidRPr="004852EB">
        <w:t>Įgyvendinant pokytį, klinika diegė elektroninius sveikatos įrašus, telemedicinos platformas ir dirbtinio intelekto pagrindu veikiančius diagnostikos įrankius. Taip pat buvo organizuojamos darbuotojų mokymų programos, diegimas vyko etapais, o kiekvienas žingsnis buvo lydimas grįžtamojo ryšio, leidžiančio tobulinti procesą.</w:t>
      </w:r>
    </w:p>
    <w:p w14:paraId="1A3838DA" w14:textId="77777777" w:rsidR="006644C8" w:rsidRDefault="006644C8" w:rsidP="006644C8">
      <w:pPr>
        <w:jc w:val="both"/>
      </w:pPr>
      <w:r w:rsidRPr="00331FBF">
        <w:rPr>
          <w:b/>
          <w:bCs/>
        </w:rPr>
        <w:t>[Slide 21]:</w:t>
      </w:r>
      <w:r>
        <w:t xml:space="preserve"> </w:t>
      </w:r>
    </w:p>
    <w:p w14:paraId="79E9C760" w14:textId="77777777" w:rsidR="006644C8" w:rsidRDefault="006644C8" w:rsidP="006644C8">
      <w:pPr>
        <w:jc w:val="both"/>
      </w:pPr>
      <w:r w:rsidRPr="004852EB">
        <w:t>Rezultatai buvo reikšmingi – pagerėjo pacientų gydymo rezultatai, padidėjo darbo efektyvumas ir prieinamumas prie duomenų. Vis dėlto iššūkių taip pat netrūko – darbuotojai iš pradžių demonstravo pasipriešinimą, pasitaikė techninių nesklandumų, reikėjo laiko prisitaikyti. Šis atvejis parodė, kad sėkmingai transformacijai būtina aiški lyderystė, nuosekli komunikacija, pastovi pagalba darbuotojams bei pasirengimas greitai reaguoti į iškilusias problemas.</w:t>
      </w:r>
    </w:p>
    <w:p w14:paraId="1892B952" w14:textId="77777777" w:rsidR="006644C8" w:rsidRDefault="006644C8" w:rsidP="006644C8">
      <w:pPr>
        <w:jc w:val="both"/>
      </w:pPr>
      <w:r w:rsidRPr="00331FBF">
        <w:rPr>
          <w:b/>
          <w:bCs/>
        </w:rPr>
        <w:t>[Slide 22]:</w:t>
      </w:r>
      <w:r>
        <w:t xml:space="preserve"> </w:t>
      </w:r>
    </w:p>
    <w:p w14:paraId="4FDC339D" w14:textId="77777777" w:rsidR="006644C8" w:rsidRDefault="006644C8" w:rsidP="006644C8">
      <w:pPr>
        <w:jc w:val="both"/>
      </w:pPr>
      <w:r w:rsidRPr="004852EB">
        <w:lastRenderedPageBreak/>
        <w:t>Apibendrinant galima teigti, kad norint sėkmingai valdyti pokyčius sveikatos priežiūros sektoriuje, būtina gerai suprasti pasipriešinimo priežastis ir taikyti tinkamas valdymo strategijas. Tokie modeliai kaip Lewino, ADKAR ar Kotterio 8 žingsnių modelis suteikia aiškią struktūrą ir padeda užtikrinti sėkmingą pokyčių įgyvendinimą. Skaitmeninimas atveria tiek galimybes, tiek kelia iššūkius, todėl būtinas atsakingas planavimas ir darbuotojų įgalinimas. Analizuotas klinikos pavyzdys leidžia praktiškai įžvelgti svarbiausius sėkmės veiksnius ir gali būti puikus orientyras panašioms iniciatyvoms kitose sveikatos priežiūros organizacijose.</w:t>
      </w:r>
    </w:p>
    <w:p w14:paraId="4DB4EA0C" w14:textId="77777777" w:rsidR="006644C8" w:rsidRPr="002F3F22" w:rsidRDefault="006644C8" w:rsidP="006644C8">
      <w:pPr>
        <w:jc w:val="both"/>
        <w:rPr>
          <w:b/>
          <w:bCs/>
        </w:rPr>
      </w:pPr>
      <w:r w:rsidRPr="002F3F22">
        <w:rPr>
          <w:b/>
          <w:bCs/>
        </w:rPr>
        <w:t>[Slide</w:t>
      </w:r>
      <w:r>
        <w:rPr>
          <w:b/>
          <w:bCs/>
        </w:rPr>
        <w:t>s</w:t>
      </w:r>
      <w:r w:rsidRPr="002F3F22">
        <w:rPr>
          <w:b/>
          <w:bCs/>
        </w:rPr>
        <w:t xml:space="preserve"> 23, 24, 25, 26]: </w:t>
      </w:r>
    </w:p>
    <w:p w14:paraId="3083AA4C" w14:textId="77777777" w:rsidR="006644C8" w:rsidRPr="004852EB" w:rsidRDefault="006644C8" w:rsidP="006644C8">
      <w:pPr>
        <w:jc w:val="both"/>
        <w:rPr>
          <w:lang w:val="lt-LT"/>
        </w:rPr>
      </w:pPr>
      <w:r w:rsidRPr="004852EB">
        <w:rPr>
          <w:b/>
          <w:bCs/>
          <w:lang w:val="lt-LT"/>
        </w:rPr>
        <w:t>Ačiū už jūsų dėmesį ir laiką.</w:t>
      </w:r>
      <w:r w:rsidRPr="004852EB">
        <w:rPr>
          <w:lang w:val="lt-LT"/>
        </w:rPr>
        <w:t xml:space="preserve"> Tikimės, kad šis modulis buvo naudingas ir paskatino naujų įžvalgų apie pokyčių valdymą sveikatos priežiūros srityje.</w:t>
      </w:r>
    </w:p>
    <w:p w14:paraId="4628FA94" w14:textId="77777777" w:rsidR="006644C8" w:rsidRPr="004852EB" w:rsidRDefault="006644C8" w:rsidP="006644C8">
      <w:pPr>
        <w:jc w:val="both"/>
        <w:rPr>
          <w:lang w:val="lt-LT"/>
        </w:rPr>
      </w:pPr>
      <w:r w:rsidRPr="004852EB">
        <w:rPr>
          <w:lang w:val="lt-LT"/>
        </w:rPr>
        <w:t>Daugiau informacijos ir papildomų šaltinių rasite prie paskaitos pateiktoje medžiagoje. Kviečiame susipažinti ir toliau gilinti savo žinias savarankiškai.</w:t>
      </w:r>
    </w:p>
    <w:p w14:paraId="2D21D8DB" w14:textId="77777777" w:rsidR="006644C8" w:rsidRPr="00AC298D" w:rsidRDefault="006644C8" w:rsidP="006644C8">
      <w:pPr>
        <w:jc w:val="both"/>
      </w:pPr>
    </w:p>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141E6" w14:textId="77777777" w:rsidR="00926281" w:rsidRDefault="00926281" w:rsidP="00CA38A2">
      <w:pPr>
        <w:spacing w:after="0" w:line="240" w:lineRule="auto"/>
      </w:pPr>
      <w:r>
        <w:separator/>
      </w:r>
    </w:p>
  </w:endnote>
  <w:endnote w:type="continuationSeparator" w:id="0">
    <w:p w14:paraId="08BBF74D" w14:textId="77777777" w:rsidR="00926281" w:rsidRDefault="00926281"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1BCBD" w14:textId="77777777" w:rsidR="00926281" w:rsidRDefault="00926281" w:rsidP="00CA38A2">
      <w:pPr>
        <w:spacing w:after="0" w:line="240" w:lineRule="auto"/>
      </w:pPr>
      <w:r>
        <w:separator/>
      </w:r>
    </w:p>
  </w:footnote>
  <w:footnote w:type="continuationSeparator" w:id="0">
    <w:p w14:paraId="46927C3D" w14:textId="77777777" w:rsidR="00926281" w:rsidRDefault="00926281"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B621A25">
              <wp:simplePos x="0" y="0"/>
              <wp:positionH relativeFrom="margin">
                <wp:posOffset>2651760</wp:posOffset>
              </wp:positionH>
              <wp:positionV relativeFrom="paragraph">
                <wp:posOffset>-77470</wp:posOffset>
              </wp:positionV>
              <wp:extent cx="347027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0275" cy="360680"/>
                      </a:xfrm>
                      <a:prstGeom prst="rect">
                        <a:avLst/>
                      </a:prstGeom>
                      <a:noFill/>
                      <a:ln w="9525">
                        <a:noFill/>
                        <a:miter lim="800000"/>
                        <a:headEnd/>
                        <a:tailEnd/>
                      </a:ln>
                    </wps:spPr>
                    <wps:txbx>
                      <w:txbxContent>
                        <w:p w14:paraId="681557EE" w14:textId="43C554F5" w:rsidR="00284CE2" w:rsidRPr="00284CE2" w:rsidRDefault="00284CE2" w:rsidP="00284CE2">
                          <w:pPr>
                            <w:jc w:val="right"/>
                            <w:rPr>
                              <w:b/>
                              <w:bCs/>
                              <w:sz w:val="20"/>
                              <w:szCs w:val="20"/>
                              <w:lang w:val="en-US"/>
                            </w:rPr>
                          </w:pPr>
                          <w:r w:rsidRPr="00284CE2">
                            <w:rPr>
                              <w:b/>
                              <w:bCs/>
                              <w:sz w:val="20"/>
                              <w:szCs w:val="20"/>
                              <w:lang w:val="en-US"/>
                            </w:rPr>
                            <w:t xml:space="preserve">Skriptas_ </w:t>
                          </w:r>
                          <w:r w:rsidR="00162B4D">
                            <w:rPr>
                              <w:b/>
                              <w:bCs/>
                              <w:sz w:val="20"/>
                              <w:szCs w:val="20"/>
                              <w:lang w:val="en-US"/>
                            </w:rPr>
                            <w:t>Pokyčių valdymas ir lyderystė</w:t>
                          </w:r>
                          <w:r w:rsidRPr="00284CE2">
                            <w:rPr>
                              <w:b/>
                              <w:bCs/>
                              <w:sz w:val="20"/>
                              <w:szCs w:val="20"/>
                              <w:lang w:val="en-US"/>
                            </w:rPr>
                            <w:t xml:space="preserve"> </w:t>
                          </w:r>
                        </w:p>
                        <w:p w14:paraId="62EEB3FC" w14:textId="01EFD043" w:rsidR="00BD2BA9" w:rsidRPr="00BD2BA9" w:rsidRDefault="00BD2BA9" w:rsidP="00BD2BA9">
                          <w:pPr>
                            <w:jc w:val="right"/>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208.8pt;margin-top:-6.1pt;width:273.25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" filled="f" stroked="f">
              <v:textbox>
                <w:txbxContent>
                  <w:p w14:paraId="681557EE" w14:textId="43C554F5" w:rsidR="00284CE2" w:rsidRPr="00284CE2" w:rsidRDefault="00284CE2" w:rsidP="00284CE2">
                    <w:pPr>
                      <w:jc w:val="right"/>
                      <w:rPr>
                        <w:b/>
                        <w:bCs/>
                        <w:sz w:val="20"/>
                        <w:szCs w:val="20"/>
                        <w:lang w:val="en-US"/>
                      </w:rPr>
                    </w:pPr>
                    <w:proofErr w:type="spellStart"/>
                    <w:r w:rsidRPr="00284CE2">
                      <w:rPr>
                        <w:b/>
                        <w:bCs/>
                        <w:sz w:val="20"/>
                        <w:szCs w:val="20"/>
                        <w:lang w:val="en-US"/>
                      </w:rPr>
                      <w:t>Skriptas</w:t>
                    </w:r>
                    <w:proofErr w:type="spellEnd"/>
                    <w:r w:rsidRPr="00284CE2">
                      <w:rPr>
                        <w:b/>
                        <w:bCs/>
                        <w:sz w:val="20"/>
                        <w:szCs w:val="20"/>
                        <w:lang w:val="en-US"/>
                      </w:rPr>
                      <w:t xml:space="preserve">_ </w:t>
                    </w:r>
                    <w:proofErr w:type="spellStart"/>
                    <w:r w:rsidR="00162B4D">
                      <w:rPr>
                        <w:b/>
                        <w:bCs/>
                        <w:sz w:val="20"/>
                        <w:szCs w:val="20"/>
                        <w:lang w:val="en-US"/>
                      </w:rPr>
                      <w:t>Pokyčių</w:t>
                    </w:r>
                    <w:proofErr w:type="spellEnd"/>
                    <w:r w:rsidR="00162B4D">
                      <w:rPr>
                        <w:b/>
                        <w:bCs/>
                        <w:sz w:val="20"/>
                        <w:szCs w:val="20"/>
                        <w:lang w:val="en-US"/>
                      </w:rPr>
                      <w:t xml:space="preserve"> </w:t>
                    </w:r>
                    <w:proofErr w:type="spellStart"/>
                    <w:r w:rsidR="00162B4D">
                      <w:rPr>
                        <w:b/>
                        <w:bCs/>
                        <w:sz w:val="20"/>
                        <w:szCs w:val="20"/>
                        <w:lang w:val="en-US"/>
                      </w:rPr>
                      <w:t>valdymas</w:t>
                    </w:r>
                    <w:proofErr w:type="spellEnd"/>
                    <w:r w:rsidR="00162B4D">
                      <w:rPr>
                        <w:b/>
                        <w:bCs/>
                        <w:sz w:val="20"/>
                        <w:szCs w:val="20"/>
                        <w:lang w:val="en-US"/>
                      </w:rPr>
                      <w:t xml:space="preserve"> </w:t>
                    </w:r>
                    <w:proofErr w:type="spellStart"/>
                    <w:r w:rsidR="00162B4D">
                      <w:rPr>
                        <w:b/>
                        <w:bCs/>
                        <w:sz w:val="20"/>
                        <w:szCs w:val="20"/>
                        <w:lang w:val="en-US"/>
                      </w:rPr>
                      <w:t>ir</w:t>
                    </w:r>
                    <w:proofErr w:type="spellEnd"/>
                    <w:r w:rsidR="00162B4D">
                      <w:rPr>
                        <w:b/>
                        <w:bCs/>
                        <w:sz w:val="20"/>
                        <w:szCs w:val="20"/>
                        <w:lang w:val="en-US"/>
                      </w:rPr>
                      <w:t xml:space="preserve"> </w:t>
                    </w:r>
                    <w:proofErr w:type="spellStart"/>
                    <w:r w:rsidR="00162B4D">
                      <w:rPr>
                        <w:b/>
                        <w:bCs/>
                        <w:sz w:val="20"/>
                        <w:szCs w:val="20"/>
                        <w:lang w:val="en-US"/>
                      </w:rPr>
                      <w:t>lyderystė</w:t>
                    </w:r>
                    <w:proofErr w:type="spellEnd"/>
                    <w:r w:rsidRPr="00284CE2">
                      <w:rPr>
                        <w:b/>
                        <w:bCs/>
                        <w:sz w:val="20"/>
                        <w:szCs w:val="20"/>
                        <w:lang w:val="en-US"/>
                      </w:rPr>
                      <w:t xml:space="preserve"> </w:t>
                    </w:r>
                  </w:p>
                  <w:p w14:paraId="62EEB3FC" w14:textId="01EFD043" w:rsidR="00BD2BA9" w:rsidRPr="00BD2BA9" w:rsidRDefault="00BD2BA9" w:rsidP="00BD2BA9">
                    <w:pPr>
                      <w:jc w:val="right"/>
                      <w:rPr>
                        <w:sz w:val="20"/>
                        <w:szCs w:val="20"/>
                      </w:rPr>
                    </w:pP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76651"/>
    <w:rsid w:val="0008234C"/>
    <w:rsid w:val="000A4F8F"/>
    <w:rsid w:val="000C0315"/>
    <w:rsid w:val="000D6A91"/>
    <w:rsid w:val="001134A0"/>
    <w:rsid w:val="001431CF"/>
    <w:rsid w:val="00162B4D"/>
    <w:rsid w:val="001809D0"/>
    <w:rsid w:val="001A14BC"/>
    <w:rsid w:val="001E4F54"/>
    <w:rsid w:val="0023017F"/>
    <w:rsid w:val="00252B92"/>
    <w:rsid w:val="00284CE2"/>
    <w:rsid w:val="002B339F"/>
    <w:rsid w:val="002D5D92"/>
    <w:rsid w:val="002D6AE0"/>
    <w:rsid w:val="002E1500"/>
    <w:rsid w:val="00305386"/>
    <w:rsid w:val="00374C61"/>
    <w:rsid w:val="00382711"/>
    <w:rsid w:val="00387E74"/>
    <w:rsid w:val="003B05E4"/>
    <w:rsid w:val="003D2FEB"/>
    <w:rsid w:val="003D5AC4"/>
    <w:rsid w:val="004462FA"/>
    <w:rsid w:val="004B6462"/>
    <w:rsid w:val="005563C5"/>
    <w:rsid w:val="00587B68"/>
    <w:rsid w:val="00603CE2"/>
    <w:rsid w:val="00630E74"/>
    <w:rsid w:val="006617F5"/>
    <w:rsid w:val="006644C8"/>
    <w:rsid w:val="006A7026"/>
    <w:rsid w:val="006C2944"/>
    <w:rsid w:val="00722993"/>
    <w:rsid w:val="0074059A"/>
    <w:rsid w:val="00767421"/>
    <w:rsid w:val="007D3023"/>
    <w:rsid w:val="007E050A"/>
    <w:rsid w:val="007F5365"/>
    <w:rsid w:val="0080406E"/>
    <w:rsid w:val="00816451"/>
    <w:rsid w:val="008749E6"/>
    <w:rsid w:val="00926281"/>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26055"/>
    <w:rsid w:val="00C35F85"/>
    <w:rsid w:val="00C64CEE"/>
    <w:rsid w:val="00C83BDB"/>
    <w:rsid w:val="00C92A2F"/>
    <w:rsid w:val="00CA38A2"/>
    <w:rsid w:val="00CB1CEA"/>
    <w:rsid w:val="00CD6122"/>
    <w:rsid w:val="00D45848"/>
    <w:rsid w:val="00D460A3"/>
    <w:rsid w:val="00D50A33"/>
    <w:rsid w:val="00D616A4"/>
    <w:rsid w:val="00D74900"/>
    <w:rsid w:val="00D82D7A"/>
    <w:rsid w:val="00E12EEF"/>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929020-119A-4819-9016-2EDC6E09F1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1414</Words>
  <Characters>8061</Characters>
  <Application>Microsoft Office Word</Application>
  <DocSecurity>0</DocSecurity>
  <Lines>67</Lines>
  <Paragraphs>18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4</cp:revision>
  <dcterms:created xsi:type="dcterms:W3CDTF">2026-04-09T06:09:00Z</dcterms:created>
  <dcterms:modified xsi:type="dcterms:W3CDTF">2026-04-09T14:42:00Z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